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ED2FE">
      <w:pPr>
        <w:pStyle w:val="29"/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MINUTA DO TERMO DE CREDENCIAMENTO</w:t>
      </w:r>
    </w:p>
    <w:p w14:paraId="38152EE9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5F01158A">
      <w:pPr>
        <w:pStyle w:val="29"/>
        <w:spacing w:line="276" w:lineRule="auto"/>
        <w:ind w:left="496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TERMO DE CONTRATO DE PRESTAÇÃO DE SERVIÇO ENTRE O    MUNICÍPIO DE ACARA/PARÁ, POR INTERMÉDIO DA SECRETARIA MUNICIPAL DE CULTURA E O AVALIADOR/PARECERISTA.</w:t>
      </w:r>
    </w:p>
    <w:p w14:paraId="0B08C6CA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38B9B6F3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47A442F9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prefeitura Municipal de  Acará/PA, com sede na Travessa São José, nº 1695, Bairro Centro, Acará/Pará, neste ato representada pelo Sr. Pedro Paulo Gouvea Moraes , Prefeito Municipal, CPF nº xxxxxxxxxxxxxxxx, doravante denominado CONTRATANTE, e o (a) .............................. inscrito (a) no CPF nº..........................., doravante denominado(a) CONTRATADA, tendo em vista às disposições da Lei nº 14.133/2021 e Lei nº 14.399, de 08 de julho de 2022, e seu Decreto de regulamentação (nº 11.740/2023), e demais legislação aplicável, resolvem celebrar o presente Termo de Contrato, decorrente do Edital nº 05/2024 – avaliadores/pareceristas, mediante as cláusulas e condições a seguir enunciadas. </w:t>
      </w:r>
    </w:p>
    <w:p w14:paraId="60550038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03AA1D42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PRIMEIRA – OBJETO </w:t>
      </w:r>
    </w:p>
    <w:p w14:paraId="30311570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 O objeto do presente instrumento é a contratação para prestação de serviço de análise de projeto e emissão de parecer técnico, nas condições estabelecidas no Edital de nº 01/2024 – avaliador/parecerista, Política Nacional Aldir Blanc. </w:t>
      </w:r>
    </w:p>
    <w:p w14:paraId="661046D2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Vinculam esta contratação o Edital nº 05/2024 – avaliadores/pareceristas, seus anexos e demais documentos que passam a fazer parte integrante do presente instrumento, independentemente de transcrição, para todos os fins e efeitos. </w:t>
      </w:r>
    </w:p>
    <w:p w14:paraId="7D9F7887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1979DE07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SEGUNDA – VIGÊNCIA E PRORROGAÇÃO </w:t>
      </w:r>
    </w:p>
    <w:p w14:paraId="7347700E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O prazo de vigência da contratação é de 12 meses contados a partir da data de sua assinatura, na forma do artigo 105 da Lei n° 14.133/2021, podendo ser prorrogado por igual período. </w:t>
      </w:r>
    </w:p>
    <w:p w14:paraId="16A2CE29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 O prazo de vigência será automaticamente prorrogado, independente de termo aditivo, quando o objeto não for concluído no período firmado acima, ressalvadas as providências cabíveis no caso de culpa da Contratada, previstas neste instrumento e respeitando os prazos e disposições da e Lei nº 14.399. </w:t>
      </w:r>
    </w:p>
    <w:p w14:paraId="7ECBC525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Prazo de execução da prestação de serviço é conforme cronograma descrito nos Editais lançados. </w:t>
      </w:r>
    </w:p>
    <w:p w14:paraId="47DAEA89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6A571CDE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TERCEIRA – SUBCONTRATAÇÃO </w:t>
      </w:r>
    </w:p>
    <w:p w14:paraId="2AFB5760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Não será admitida a subcontratação do objeto contratual, sendo-lhe, portanto, vedado ceder ou transferir, no todo ou em parte, os direitos e obrigações dele decorrentes. </w:t>
      </w:r>
    </w:p>
    <w:p w14:paraId="0C7EB021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0753D8D7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QUARTA – DO PAGAMENTO </w:t>
      </w:r>
    </w:p>
    <w:p w14:paraId="6D14D98E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O valor a ser pago aos avaliadores/pareceristas CREDENCIADOS, será de acordo com o Edital nº 05/2024 – avaliadores/pareceristas. </w:t>
      </w:r>
    </w:p>
    <w:p w14:paraId="6D57B030"/>
    <w:p w14:paraId="54658689"/>
    <w:p w14:paraId="17FDB9D3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CLÁUSULA QUINTA – OBRIGAÇÕES DAS PARTES </w:t>
      </w:r>
    </w:p>
    <w:p w14:paraId="7BCE8421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5.1 DAS OBRIGAÇÕES DA CONTRATADA </w:t>
      </w:r>
    </w:p>
    <w:p w14:paraId="3CAFD3D5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5.1.1 Cumprir rigorosamente todas as obrigações constantes deste instrumento, prazos e condições pactuadas. </w:t>
      </w:r>
    </w:p>
    <w:p w14:paraId="405E774F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5.1.2 Executar o serviço de acordo com o objeto contratado. </w:t>
      </w:r>
    </w:p>
    <w:p w14:paraId="0313DEE1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5.1.3 Executar o objeto, atuando em seu próprio nome, por sua conta e risco, sendo-lhe, portanto, vedado ceder ou transferir, no todo ou em parte, os direitos e obrigações dele decorrentes. </w:t>
      </w:r>
    </w:p>
    <w:p w14:paraId="2C5A14AA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5.1.4 Possuir capacidade técnica e operacional para trabalhar remotamente, possuindo computador, internet e demais equipamentos necessários para avaliação das propostas e participação em videoconferências, quando necessário. </w:t>
      </w:r>
    </w:p>
    <w:p w14:paraId="282BDCC2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637924D9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5.2 DAS OBRIGAÇÕES DA CONTRATANTE </w:t>
      </w:r>
    </w:p>
    <w:p w14:paraId="39878F12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 Acompanhar e fiscalizar a execução do serviço contratado. </w:t>
      </w:r>
    </w:p>
    <w:p w14:paraId="20887125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 Pagar a contratada no prazo estipulado no Edital nº 05/2024 – avaliadores/pareceristas o valor correspondente ao serviço prestado. </w:t>
      </w:r>
    </w:p>
    <w:p w14:paraId="2D69567C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 Notificar a Contratada, por escrito, fixando-lhe prazo para corrigir defeitos ou irregularidades encontradas na execução do serviço. </w:t>
      </w:r>
    </w:p>
    <w:p w14:paraId="3D2795CF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5.2.4 Incluir junto ao comprovante de pagamento um relatório especificando os pareceres emitidos pelo contratado. </w:t>
      </w:r>
    </w:p>
    <w:p w14:paraId="36AA2530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32AAF9F8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CLÁUSULA SEXTA – OBRIGAÇÕES PERTINENTES À LGPD</w:t>
      </w:r>
    </w:p>
    <w:p w14:paraId="64447BC7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O Contratado(a) obriga-se ao dever de proteção, confidencialidade e sigilo de toda informação, dados pessoais e/ou base de dados a que tenha acesso, inclusive em razão de licenciamento ou da operação dos programas/sistemas, nos termos da Lei nº 13.709/2018, suas alterações e regulamentações posteriores, durante o cumprimento do objeto descrito no presente instrumento contratual. </w:t>
      </w:r>
    </w:p>
    <w:p w14:paraId="324D7595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 A Contratada obriga-se a implementar medidas técnicas e administrativas suficientes visando a segurança, a proteção, a confidencialidade e o sigilo de toda informação, dados pessoais e/ou base de dados a que tenha acesso a fim de evitar acessos não autorizados, acidentes, vazamentos acidentais ou ilícitos que causem destruição, perda, alteração, comunicação ou qualquer outra forma de tratamento não previstos. </w:t>
      </w:r>
    </w:p>
    <w:p w14:paraId="60A4AB5F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A Contratada deve assegurar-se de que todos os seus colaboradores, consultores e/ou prestadores de serviços que, no exercício das suas atividades, tenham acesso e/ou conhecimento da informação e/ou dos dados pessoais, respeitem o dever de proteção, confidencialidade e sigilo. </w:t>
      </w:r>
    </w:p>
    <w:p w14:paraId="284F37FA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A Contratada não poderá utilizar-se de informação, dados pessoais e/ou base de dados a que tenha acesso, para fins distintos ao cumprimento do objeto deste instrumento contratual. </w:t>
      </w:r>
    </w:p>
    <w:p w14:paraId="02232AD8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 A Contratada não poderá disponibilizar e/ou transmitir a terceiros, sem prévia autorização escrita, informação, dados pessoais e/ou base de dados a que tenha acesso em razão do cumprimento do objeto deste instrumento contratual. </w:t>
      </w:r>
    </w:p>
    <w:p w14:paraId="1A2F5CB7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6.5.1 A Contratada obriga-se a fornecer informação, dados pessoais e/ou base de dados estritamente necessários caso quando da transmissão autorizada a terceiros durante o cumprimento do objeto descrito neste instrumento contratual. </w:t>
      </w:r>
    </w:p>
    <w:p w14:paraId="26048D76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A Contratada deverá notificar, imediatamente, a Contratante no caso de vazamento, perda parcial ou total de informação, dados pessoais e/ou base de dados. </w:t>
      </w:r>
    </w:p>
    <w:p w14:paraId="17B39C18">
      <w:pPr>
        <w:tabs>
          <w:tab w:val="left" w:pos="3343"/>
        </w:tabs>
        <w:rPr>
          <w:rFonts w:ascii="Times New Roman" w:hAnsi="Times New Roman" w:cs="Times New Roman"/>
          <w:sz w:val="24"/>
          <w:szCs w:val="24"/>
        </w:rPr>
      </w:pPr>
      <w:r>
        <w:t>6.6</w:t>
      </w:r>
      <w:r>
        <w:rPr>
          <w:rFonts w:ascii="Times New Roman" w:hAnsi="Times New Roman" w:cs="Times New Roman"/>
          <w:sz w:val="24"/>
          <w:szCs w:val="24"/>
        </w:rPr>
        <w:t xml:space="preserve">.1 A notificação não eximirá a Contratada das obrigações e/ou sanções que possam incidir em razão da perda de informação, dados pessoais e/ou base de dados. </w:t>
      </w:r>
    </w:p>
    <w:p w14:paraId="60780F58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6.6.2 A Contratada que descumprir nos termos da Lei nº 13.709/2018 suas alterações e regulamentações posteriores, durante ou após a execução do objeto descrito no presente instrumento contratual fica obrigado a assumir total responsabilidade e ao ressarcimento por todo e qualquer dano e/ou prejuízo sofrido, incluindo sanções aplicadas pela autoridade competente. </w:t>
      </w:r>
    </w:p>
    <w:p w14:paraId="78F19FDF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A Contratada fica obrigada a manter preposto para comunicação com Contratante para os assuntos pertinentes à Lei nº 13.709/2018 suas alterações e regulamentações posteriores. </w:t>
      </w:r>
    </w:p>
    <w:p w14:paraId="688F2658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 O dever de sigilo e confidencialidade, e as demais obrigações descritas na presente cláusula, permanecerão em vigor após a extinção das relações entre a Contratada e a Contratante, bem como, entre a Contratada e os seus colaboradores, subcontratados, consultores e/ou prestadores de serviços sob pena das sanções previstas na Lei nº 13.709/2018, suas alterações e regulamentações posteriores, salvo decisão judicial contrária. </w:t>
      </w:r>
    </w:p>
    <w:p w14:paraId="0D62930E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 O não cumprimento de quaisquer das obrigações descritas nesta cláusula sujeitará a Contratada a processo administrativo para apuração de responsabilidade e, consequente, sanção, sem prejuízo de outras cominações cíveis e penais. </w:t>
      </w:r>
    </w:p>
    <w:p w14:paraId="67D3E91D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768BC247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SÉTIMA – INFRAÇÕES E SANÇÕES ADMINISTRATIVAS </w:t>
      </w:r>
    </w:p>
    <w:p w14:paraId="6AA9092A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 Comete infração administrativa, a Contratada que: </w:t>
      </w:r>
    </w:p>
    <w:p w14:paraId="71D17555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der causa à inexecução parcial do contrato; </w:t>
      </w:r>
    </w:p>
    <w:p w14:paraId="0B8F3F5C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der causa à inexecução parcial do contrato que cause grave dano à Administração ou ao funcionamento dos serviços públicos ou ao interesse coletivo; </w:t>
      </w:r>
    </w:p>
    <w:p w14:paraId="117E5B1B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der causa à inexecução total do contrato; </w:t>
      </w:r>
    </w:p>
    <w:p w14:paraId="3779D481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não manter a proposta, salvo em decorrência de fato superveniente devidamente justificado; </w:t>
      </w:r>
    </w:p>
    <w:p w14:paraId="57DA2D75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ensejar o retardamento da execução ou da entrega do objeto da contratação sem motivo justificado; </w:t>
      </w:r>
    </w:p>
    <w:p w14:paraId="680EBE1D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apresentar declaração ou documentação falsa exigida para o credenciamento ou prestar declaração falsa durante a dispensa eletrônica ou execução do contrato; </w:t>
      </w:r>
    </w:p>
    <w:p w14:paraId="18A04BDC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fraudar a contratação ou praticar ato fraudulento na execução do contrato; </w:t>
      </w:r>
    </w:p>
    <w:p w14:paraId="588AEAEC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h) comportar-se de modo inidôneo ou cometer fraude de qualquer natureza; </w:t>
      </w:r>
    </w:p>
    <w:p w14:paraId="64633BD2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praticar atos ilícitos com vistas a frustrar os objetivos da contratação; </w:t>
      </w:r>
    </w:p>
    <w:p w14:paraId="4DFACA32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j) praticar ato lesivo previsto no art. 5º da Lei nº 12.846, de 1º de agosto de 2013. </w:t>
      </w:r>
    </w:p>
    <w:p w14:paraId="292BB103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 Serão aplicadas à responsável pelas infrações administrativas acima descritas as seguintes sanções: </w:t>
      </w:r>
    </w:p>
    <w:p w14:paraId="0C32998F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advertência, quando a Contratada der causa à inexecução parcial do contrato, sempre que não se justificar a imposição de penalidade mais grave; </w:t>
      </w:r>
    </w:p>
    <w:p w14:paraId="0C39B1C8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multa: </w:t>
      </w:r>
    </w:p>
    <w:p w14:paraId="1C660D4A">
      <w:pPr>
        <w:pStyle w:val="29"/>
        <w:spacing w:after="15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moratória de 0,5% (cinco décimos por cento) por dia de atraso injustificado sobre o valor da parcela inadimplida, até o limite de 30% (trinta por cento) do contrato ou instrumento equivalente; </w:t>
      </w:r>
    </w:p>
    <w:p w14:paraId="4FAB72D6">
      <w:pPr>
        <w:pStyle w:val="29"/>
        <w:spacing w:after="15" w:line="276" w:lineRule="auto"/>
        <w:jc w:val="both"/>
        <w:rPr>
          <w:rFonts w:ascii="Times New Roman" w:hAnsi="Times New Roman" w:cs="Times New Roman"/>
        </w:rPr>
      </w:pPr>
    </w:p>
    <w:p w14:paraId="54EBFD7D">
      <w:pPr>
        <w:pStyle w:val="29"/>
        <w:spacing w:after="15" w:line="276" w:lineRule="auto"/>
        <w:jc w:val="both"/>
        <w:rPr>
          <w:rFonts w:ascii="Times New Roman" w:hAnsi="Times New Roman" w:cs="Times New Roman"/>
        </w:rPr>
      </w:pPr>
    </w:p>
    <w:p w14:paraId="12189C3D">
      <w:pPr>
        <w:pStyle w:val="29"/>
        <w:spacing w:after="15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compensatória de 5% (cinco por cento) sobre o valor da parcela inadimplida à Contratada que entregar o objeto contratual em desacordo com as especificações, condições e qualidade contratadas ou com irregularidades ou defeitos ocultos que o tornem impróprio para o fim a que se destina; </w:t>
      </w:r>
    </w:p>
    <w:p w14:paraId="27ABE61E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compensatória de até 3% (três por cento) sobre o valor de referência ao licitante ou contratada que retardar o procedimento de contratação, descumprir preceito normativo ou obrigações assumidas, tais como: </w:t>
      </w:r>
    </w:p>
    <w:p w14:paraId="08A7CF83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– propor recursos manifestamente protelatórios em sede de contratação direta; </w:t>
      </w:r>
    </w:p>
    <w:p w14:paraId="28D09A6D">
      <w:pPr>
        <w:pStyle w:val="29"/>
        <w:spacing w:line="276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II – deixar de cumprir as exigências de reserva de cargos previstas em lei, bem como em outras normas específicas, para pessoa com deficiência, para reabilitado da Previdência Social e para aprendiz</w:t>
      </w:r>
      <w:r>
        <w:rPr>
          <w:rFonts w:ascii="Times New Roman" w:hAnsi="Times New Roman" w:cs="Times New Roman"/>
          <w:color w:val="FF0000"/>
        </w:rPr>
        <w:t xml:space="preserve">; </w:t>
      </w:r>
    </w:p>
    <w:p w14:paraId="65C10629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 – deixar de cumprir o modelo de gestão do contrato; </w:t>
      </w:r>
    </w:p>
    <w:p w14:paraId="3916466F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 – não devolver os valores pagos indevidamente pelo Contratante; </w:t>
      </w:r>
    </w:p>
    <w:p w14:paraId="2698ED9D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– não manter, durante a execução do contrato, todas as condições exigidas para qualificação, ou ainda, quaisquer outras obrigações; </w:t>
      </w:r>
    </w:p>
    <w:p w14:paraId="53E058FB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– deixar de regularizar, no prazo definido pela administração, os documentos exigidos pela legislação para fins de liquidação e pagamento da despesa; </w:t>
      </w:r>
    </w:p>
    <w:p w14:paraId="60C270D2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 – deixar de apresentar, quando solicitado, documentação fiscal, trabalhista e previdenciária regularizada; </w:t>
      </w:r>
    </w:p>
    <w:p w14:paraId="1E6F07C0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VIII – não manter atualizado e-mail e telefone para contato, sobretudo dos prepostos, nem informar à Comissão Organizadora, no prazo de dois dias, a alteração de endereços, sobretudo quando este ato frustrar a regular notificação de instauração de processo sancionador; </w:t>
      </w:r>
    </w:p>
    <w:p w14:paraId="248913F6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O atraso superior a 15 (quinze) dias úteis autoriza a Administração a promover a rescisão do contrato por descumprimento ou cumprimento irregular de suas cláusulas, conforme dispõe o inciso I do art. 137 da Lei n. 14.133, de 2021. </w:t>
      </w:r>
    </w:p>
    <w:p w14:paraId="39CF9B96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 A aplicação das sanções previstas neste contrato não exclui, em hipótese alguma, a obrigação de reparação integral do dano causado ao Contratante. </w:t>
      </w:r>
    </w:p>
    <w:p w14:paraId="6C908D73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 Todas as sanções previstas neste contrato poderão ser aplicadas cumulativamente com a multa </w:t>
      </w:r>
    </w:p>
    <w:p w14:paraId="008F6B51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7.4.1 Se a multa aplicada e as indenizações cabíveis forem superiores ao valor do pagamento eventualmente devido pelo Contratante à Contratada, além da perda desse valor, a diferença será descontada da garantia prestada ou será cobrada judicialmente; </w:t>
      </w:r>
    </w:p>
    <w:p w14:paraId="1914C3B1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7.4.2 Previamente ao encaminhamento à cobrança judicial, a multa poderá ser recolhida administrativamente no prazo máximo de 30 (trinta) dias, a contar da data do recebimento da comunicação enviada pela autoridade competente. </w:t>
      </w:r>
    </w:p>
    <w:p w14:paraId="4CA418CB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 A aplicação das sanções realizar-se-á em processo administrativo que assegure o contraditório e a ampla defesa à Contratada, observando-se o procedimento previsto no caput e parágrafos do art. 158 da Lei nº 14.133, de 2021, para as penalidades de impedimento de licitar e contratar e de declaração de inidoneidade para licitar ou contratar. </w:t>
      </w:r>
    </w:p>
    <w:p w14:paraId="4E5811A1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 Os atos previstos como infrações administrativas na Lei nº 14.133, de 2021, ou em outras leis de licitações e contratos da Administração Pública que também sejam tipificados como atos lesivos na Lei nº 12.846, de 2013, serão apurados e julgados conjuntamente, nos mesmos autos, observados o rito procedimental e autoridade competente definidos na referida Lei. </w:t>
      </w:r>
    </w:p>
    <w:p w14:paraId="6F32D5DE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513B9DDA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28F8CD5C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23A9229C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OITAVA – DAS PENALIDADES </w:t>
      </w:r>
    </w:p>
    <w:p w14:paraId="2AA17B56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 Motivos de descredenciamento deste Edital de Credenciamento de avaliadores/pareceristas para análise técnica de projetos culturais. </w:t>
      </w:r>
    </w:p>
    <w:p w14:paraId="100562B8">
      <w:pPr>
        <w:pStyle w:val="29"/>
        <w:spacing w:after="55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Transferir ou ceder suas obrigações, no todo ou em parte, a terceiros, sendo-lhe expressamente proibida a subcontratação da prestação do serviço; </w:t>
      </w:r>
    </w:p>
    <w:p w14:paraId="39A8E378">
      <w:pPr>
        <w:pStyle w:val="29"/>
        <w:spacing w:after="55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A inexecução ou execução parcial do parecer e se constatada a não veracidade de algumas informações prestadas; </w:t>
      </w:r>
    </w:p>
    <w:p w14:paraId="1F17C525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O não cumprimento de prazos de entrega das análises no período determinado, o avaliador/parecerista contratado, poderá ser desclassificado, sem qualquer tipo de indenização; </w:t>
      </w:r>
    </w:p>
    <w:p w14:paraId="6DF2D2FD">
      <w:pPr>
        <w:pStyle w:val="29"/>
        <w:spacing w:after="55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Executar os serviços em desacordo com as normas técnicas ou especificações do Edital; </w:t>
      </w:r>
    </w:p>
    <w:p w14:paraId="179516BE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A falsidade de qualquer documento apresentado ou a inverdade das informações nele contidas, implicará no imediato descredenciamento do avaliador/parecerista, sem prejuízo da adoção das medidas legais cabíveis; </w:t>
      </w:r>
    </w:p>
    <w:p w14:paraId="4D9640FA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18479B60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NONA – DO DESCREDENCIAMENTO </w:t>
      </w:r>
    </w:p>
    <w:p w14:paraId="596ED440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 O avaliador/parecerista poderá solicitar seu descredenciamento a qualquer tempo, mediante o envio de solicitação à Secretaria Municipal de Cultura com antecedência mínima de 15 (quinze) dias e não estar de posse de projetos culturais em análise. O deferimento deverá ocorrer no prazo de 02 (dois) dias úteis. </w:t>
      </w:r>
    </w:p>
    <w:p w14:paraId="103E0CEF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 Uma vez solicitada desistência e/ou descredenciamento, o avaliador/parecerista não poderá retornar ao banco de credenciamento. </w:t>
      </w:r>
    </w:p>
    <w:p w14:paraId="336DB570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 Não serão aceitas inscrições fora do período estabelecido neste Edital. </w:t>
      </w:r>
    </w:p>
    <w:p w14:paraId="12D65D16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9.4 O descredenciamento por ato da administração pública poderá se dar, conforme cláusula oitava deste contrato. </w:t>
      </w:r>
    </w:p>
    <w:p w14:paraId="44BDCED6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Parágrafo único – O descumprimento das exigências deste contrato, do Edital ou da legislação pertinente poderá ensejar o descredenciamento do interessado, observado o contraditório e a ampla defesa. </w:t>
      </w:r>
    </w:p>
    <w:p w14:paraId="40B4CA46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9.5 A Prefeitura Municipal de Acará por meio da Secretaria Municipal de Cultura  reserva-se o direito de alterar, anular, revogar, e/ou cancelar, no todo ou em parte, o presente Edital, a qualquer tempo, e sem que caiba aos proponentes e/ou inscritos, qualquer tipo de indenização; disto dando ciência aos interessados mediante publicação no quadro de  publicações e site da Prefeitura Municipal de Acará no endereço eletrônico: </w:t>
      </w:r>
      <w:r>
        <w:fldChar w:fldCharType="begin"/>
      </w:r>
      <w:r>
        <w:instrText xml:space="preserve"> HYPERLINK "https://acara.pa.gov.br/" </w:instrText>
      </w:r>
      <w:r>
        <w:fldChar w:fldCharType="separate"/>
      </w:r>
      <w:r>
        <w:rPr>
          <w:rStyle w:val="11"/>
          <w:rFonts w:ascii="Times New Roman" w:hAnsi="Times New Roman" w:cs="Times New Roman"/>
        </w:rPr>
        <w:t>https://acara.pa.gov.br/</w:t>
      </w:r>
      <w:r>
        <w:rPr>
          <w:rStyle w:val="11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</w:p>
    <w:p w14:paraId="7028EA59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72C0B3CC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CLÁUSULA DÉCIMA – CASOS OMISSOS </w:t>
      </w:r>
    </w:p>
    <w:p w14:paraId="65BE872D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 Os casos omissos relativos a este contrato, serão apreciados com fundamento na legislação pertinente vigente, pela Secretaria Municipal de Cultura e Procuradoria do Município. </w:t>
      </w:r>
    </w:p>
    <w:p w14:paraId="5954C31B">
      <w:pPr>
        <w:pStyle w:val="29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 Para quaisquer questões judiciais oriundas deste contrato, prevalecerá o Foro da Comarca de Acará/PA, com exclusão de qualquer outro, por mais privilegiado que seja. </w:t>
      </w:r>
    </w:p>
    <w:p w14:paraId="100EDD1D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528CBE77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01184122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34EB6D74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381B7395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4D86267D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1DA99C3E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23CDC305">
      <w:pPr>
        <w:pStyle w:val="29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Pedro Paulo Gouvea Moraes</w:t>
      </w:r>
    </w:p>
    <w:p w14:paraId="27BF52FC">
      <w:pPr>
        <w:pStyle w:val="29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14:paraId="023F2D56">
      <w:pPr>
        <w:pStyle w:val="29"/>
        <w:spacing w:line="276" w:lineRule="auto"/>
        <w:jc w:val="center"/>
        <w:rPr>
          <w:rFonts w:ascii="Times New Roman" w:hAnsi="Times New Roman" w:cs="Times New Roman"/>
        </w:rPr>
      </w:pPr>
    </w:p>
    <w:p w14:paraId="6B5C79E6">
      <w:pPr>
        <w:pStyle w:val="29"/>
        <w:spacing w:line="276" w:lineRule="auto"/>
        <w:jc w:val="center"/>
        <w:rPr>
          <w:rFonts w:ascii="Times New Roman" w:hAnsi="Times New Roman" w:cs="Times New Roman"/>
        </w:rPr>
      </w:pPr>
    </w:p>
    <w:p w14:paraId="5B984789">
      <w:pPr>
        <w:pStyle w:val="29"/>
        <w:spacing w:line="276" w:lineRule="auto"/>
        <w:jc w:val="center"/>
        <w:rPr>
          <w:rFonts w:ascii="Times New Roman" w:hAnsi="Times New Roman" w:cs="Times New Roman"/>
        </w:rPr>
      </w:pPr>
    </w:p>
    <w:p w14:paraId="20A5A847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32F33074">
      <w:pPr>
        <w:pStyle w:val="29"/>
        <w:spacing w:line="276" w:lineRule="auto"/>
        <w:jc w:val="both"/>
        <w:rPr>
          <w:rFonts w:ascii="Times New Roman" w:hAnsi="Times New Roman" w:cs="Times New Roman"/>
        </w:rPr>
      </w:pPr>
    </w:p>
    <w:p w14:paraId="496B1ABB">
      <w:pPr>
        <w:pStyle w:val="29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21BC3C14">
      <w:pPr>
        <w:pStyle w:val="29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Contratado (a)</w:t>
      </w:r>
    </w:p>
    <w:p w14:paraId="00000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</w:t>
      </w:r>
    </w:p>
    <w:sectPr>
      <w:headerReference r:id="rId5" w:type="default"/>
      <w:footerReference r:id="rId6" w:type="default"/>
      <w:pgSz w:w="11909" w:h="16834"/>
      <w:pgMar w:top="1440" w:right="718" w:bottom="567" w:left="1071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555AA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437EA">
    <w:pPr>
      <w:pStyle w:val="15"/>
      <w:jc w:val="center"/>
      <w:rPr>
        <w:b/>
        <w:bCs/>
      </w:rPr>
    </w:pPr>
    <w:bookmarkStart w:id="0" w:name="_GoBack"/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-207010</wp:posOffset>
          </wp:positionH>
          <wp:positionV relativeFrom="paragraph">
            <wp:posOffset>-252095</wp:posOffset>
          </wp:positionV>
          <wp:extent cx="7540625" cy="10500995"/>
          <wp:effectExtent l="0" t="0" r="0" b="0"/>
          <wp:wrapNone/>
          <wp:docPr id="170" name="Imagem 170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m 170" descr="Fundo preto com letras branca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809" cy="10500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4782185</wp:posOffset>
          </wp:positionH>
          <wp:positionV relativeFrom="paragraph">
            <wp:posOffset>-85725</wp:posOffset>
          </wp:positionV>
          <wp:extent cx="1781810" cy="438785"/>
          <wp:effectExtent l="0" t="0" r="8890" b="18415"/>
          <wp:wrapSquare wrapText="bothSides"/>
          <wp:docPr id="171" name="Imagem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" name="Imagem 17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-205105</wp:posOffset>
          </wp:positionV>
          <wp:extent cx="951865" cy="657225"/>
          <wp:effectExtent l="0" t="0" r="635" b="9525"/>
          <wp:wrapSquare wrapText="bothSides"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" name="Imagem 16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186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8E99AD">
    <w:pPr>
      <w:pStyle w:val="15"/>
      <w:jc w:val="center"/>
      <w:rPr>
        <w:b/>
        <w:bCs/>
      </w:rPr>
    </w:pPr>
  </w:p>
  <w:p w14:paraId="4D5AFB50">
    <w:pPr>
      <w:pStyle w:val="15"/>
      <w:jc w:val="center"/>
      <w:rPr>
        <w:b/>
        <w:bCs/>
      </w:rPr>
    </w:pPr>
    <w:r>
      <w:rPr>
        <w:b/>
        <w:bCs/>
      </w:rPr>
      <w:t xml:space="preserve">  </w:t>
    </w:r>
  </w:p>
  <w:p w14:paraId="116AC73D">
    <w:pPr>
      <w:pStyle w:val="15"/>
      <w:jc w:val="center"/>
      <w:rPr>
        <w:b/>
        <w:bCs/>
      </w:rPr>
    </w:pPr>
    <w:r>
      <w:rPr>
        <w:b/>
        <w:bCs/>
      </w:rPr>
      <w:t xml:space="preserve">  ESTADO DO PARÁ</w:t>
    </w:r>
  </w:p>
  <w:p w14:paraId="443D07D3">
    <w:pPr>
      <w:pStyle w:val="15"/>
      <w:jc w:val="center"/>
      <w:rPr>
        <w:b/>
      </w:rPr>
    </w:pPr>
    <w:r>
      <w:rPr>
        <w:b/>
        <w:bCs/>
      </w:rPr>
      <w:t>PREFEITURA MUNICIPAL DE ACARÁ</w:t>
    </w:r>
  </w:p>
  <w:p w14:paraId="7462145A">
    <w:pPr>
      <w:pStyle w:val="15"/>
      <w:jc w:val="center"/>
      <w:rPr>
        <w:b/>
      </w:rPr>
    </w:pPr>
    <w:r>
      <w:rPr>
        <w:b/>
      </w:rPr>
      <w:t>SECRETARIA MUNICIPAL DE CULTURA – SEMUC</w:t>
    </w:r>
  </w:p>
  <w:p w14:paraId="1DA6C032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420F9"/>
    <w:rsid w:val="00064938"/>
    <w:rsid w:val="00094F65"/>
    <w:rsid w:val="0009658D"/>
    <w:rsid w:val="000D05DE"/>
    <w:rsid w:val="000E2F05"/>
    <w:rsid w:val="000E40BF"/>
    <w:rsid w:val="000F1B02"/>
    <w:rsid w:val="000F607B"/>
    <w:rsid w:val="00122717"/>
    <w:rsid w:val="00136773"/>
    <w:rsid w:val="00136E7F"/>
    <w:rsid w:val="001456AB"/>
    <w:rsid w:val="0014710F"/>
    <w:rsid w:val="001806E2"/>
    <w:rsid w:val="001D6033"/>
    <w:rsid w:val="00264109"/>
    <w:rsid w:val="00277E52"/>
    <w:rsid w:val="00290373"/>
    <w:rsid w:val="002C1147"/>
    <w:rsid w:val="002C7172"/>
    <w:rsid w:val="002E6613"/>
    <w:rsid w:val="00390140"/>
    <w:rsid w:val="003B2096"/>
    <w:rsid w:val="003F0A79"/>
    <w:rsid w:val="00405406"/>
    <w:rsid w:val="00406B4A"/>
    <w:rsid w:val="00412B00"/>
    <w:rsid w:val="00416AB6"/>
    <w:rsid w:val="004220F0"/>
    <w:rsid w:val="0043694E"/>
    <w:rsid w:val="004558A6"/>
    <w:rsid w:val="00491C2B"/>
    <w:rsid w:val="004B43D2"/>
    <w:rsid w:val="004F1066"/>
    <w:rsid w:val="005259B8"/>
    <w:rsid w:val="005452BA"/>
    <w:rsid w:val="0056792D"/>
    <w:rsid w:val="00665BA8"/>
    <w:rsid w:val="00674A63"/>
    <w:rsid w:val="0070148C"/>
    <w:rsid w:val="0070590E"/>
    <w:rsid w:val="00750198"/>
    <w:rsid w:val="00766C10"/>
    <w:rsid w:val="00792B68"/>
    <w:rsid w:val="007B4602"/>
    <w:rsid w:val="007D0C06"/>
    <w:rsid w:val="00886A59"/>
    <w:rsid w:val="008A56F1"/>
    <w:rsid w:val="008C38B3"/>
    <w:rsid w:val="008E10FF"/>
    <w:rsid w:val="008E5060"/>
    <w:rsid w:val="0091556D"/>
    <w:rsid w:val="00930DF7"/>
    <w:rsid w:val="00945B21"/>
    <w:rsid w:val="009575E9"/>
    <w:rsid w:val="009729B8"/>
    <w:rsid w:val="00972FE5"/>
    <w:rsid w:val="009A0110"/>
    <w:rsid w:val="009E10B0"/>
    <w:rsid w:val="009F4C5C"/>
    <w:rsid w:val="00A10607"/>
    <w:rsid w:val="00A20A1C"/>
    <w:rsid w:val="00A55076"/>
    <w:rsid w:val="00A9256E"/>
    <w:rsid w:val="00AB2D02"/>
    <w:rsid w:val="00AB56A3"/>
    <w:rsid w:val="00B01CE2"/>
    <w:rsid w:val="00B1033D"/>
    <w:rsid w:val="00B4424E"/>
    <w:rsid w:val="00B50530"/>
    <w:rsid w:val="00B94EDC"/>
    <w:rsid w:val="00BA0F70"/>
    <w:rsid w:val="00BB4DE9"/>
    <w:rsid w:val="00BB7466"/>
    <w:rsid w:val="00C16518"/>
    <w:rsid w:val="00C434AD"/>
    <w:rsid w:val="00C71C89"/>
    <w:rsid w:val="00C74DB2"/>
    <w:rsid w:val="00C75384"/>
    <w:rsid w:val="00C87105"/>
    <w:rsid w:val="00C96036"/>
    <w:rsid w:val="00CB12D4"/>
    <w:rsid w:val="00CD2641"/>
    <w:rsid w:val="00CF7F46"/>
    <w:rsid w:val="00D27E6C"/>
    <w:rsid w:val="00D4053C"/>
    <w:rsid w:val="00D469C4"/>
    <w:rsid w:val="00D62ABC"/>
    <w:rsid w:val="00D64AF8"/>
    <w:rsid w:val="00D92083"/>
    <w:rsid w:val="00DB0946"/>
    <w:rsid w:val="00DB6F7D"/>
    <w:rsid w:val="00DD3248"/>
    <w:rsid w:val="00E23903"/>
    <w:rsid w:val="00E40F16"/>
    <w:rsid w:val="00E96444"/>
    <w:rsid w:val="00ED3C51"/>
    <w:rsid w:val="00EE1C50"/>
    <w:rsid w:val="00EF12FE"/>
    <w:rsid w:val="00F13750"/>
    <w:rsid w:val="00F34189"/>
    <w:rsid w:val="00FC28D0"/>
    <w:rsid w:val="00FC691A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3EE706EB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Body Text"/>
    <w:basedOn w:val="1"/>
    <w:link w:val="19"/>
    <w:qFormat/>
    <w:uiPriority w:val="0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paragraph" w:styleId="13">
    <w:name w:val="annotation text"/>
    <w:basedOn w:val="1"/>
    <w:link w:val="25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4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15">
    <w:name w:val="header"/>
    <w:basedOn w:val="1"/>
    <w:link w:val="26"/>
    <w:unhideWhenUsed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6">
    <w:name w:val="footer"/>
    <w:basedOn w:val="1"/>
    <w:link w:val="27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7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styleId="18">
    <w:name w:val="Table Grid"/>
    <w:basedOn w:val="9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Corpo de texto Char"/>
    <w:basedOn w:val="8"/>
    <w:link w:val="12"/>
    <w:qFormat/>
    <w:uiPriority w:val="0"/>
    <w:rPr>
      <w:rFonts w:eastAsia="Times New Roman" w:cs="Times New Roman"/>
      <w:color w:val="000000"/>
      <w:sz w:val="24"/>
      <w:szCs w:val="20"/>
      <w:lang w:eastAsia="ar-SA"/>
    </w:rPr>
  </w:style>
  <w:style w:type="paragraph" w:styleId="20">
    <w:name w:val="List Paragraph"/>
    <w:basedOn w:val="1"/>
    <w:qFormat/>
    <w:uiPriority w:val="34"/>
    <w:pPr>
      <w:suppressAutoHyphens/>
      <w:spacing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table" w:customStyle="1" w:styleId="21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3">
    <w:name w:val="normaltextrun"/>
    <w:basedOn w:val="8"/>
    <w:qFormat/>
    <w:uiPriority w:val="0"/>
  </w:style>
  <w:style w:type="character" w:customStyle="1" w:styleId="24">
    <w:name w:val="eop"/>
    <w:basedOn w:val="8"/>
    <w:qFormat/>
    <w:uiPriority w:val="0"/>
  </w:style>
  <w:style w:type="character" w:customStyle="1" w:styleId="25">
    <w:name w:val="Texto de comentário Char"/>
    <w:basedOn w:val="8"/>
    <w:link w:val="13"/>
    <w:semiHidden/>
    <w:qFormat/>
    <w:uiPriority w:val="99"/>
    <w:rPr>
      <w:sz w:val="20"/>
      <w:szCs w:val="20"/>
    </w:rPr>
  </w:style>
  <w:style w:type="character" w:customStyle="1" w:styleId="26">
    <w:name w:val="Cabeçalho Char"/>
    <w:basedOn w:val="8"/>
    <w:link w:val="15"/>
    <w:qFormat/>
    <w:uiPriority w:val="99"/>
  </w:style>
  <w:style w:type="character" w:customStyle="1" w:styleId="27">
    <w:name w:val="Rodapé Char"/>
    <w:basedOn w:val="8"/>
    <w:link w:val="16"/>
    <w:qFormat/>
    <w:uiPriority w:val="99"/>
  </w:style>
  <w:style w:type="paragraph" w:customStyle="1" w:styleId="28">
    <w:name w:val="dou-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  <w:spacing w:line="240" w:lineRule="auto"/>
    </w:pPr>
    <w:rPr>
      <w:rFonts w:ascii="Arial" w:hAnsi="Arial" w:eastAsia="Arial" w:cs="Arial"/>
      <w:color w:val="000000"/>
      <w:sz w:val="24"/>
      <w:szCs w:val="24"/>
      <w:lang w:val="pt-BR" w:eastAsia="pt-BR" w:bidi="ar-SA"/>
    </w:rPr>
  </w:style>
  <w:style w:type="character" w:customStyle="1" w:styleId="3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E1E827C-63A6-44D7-96E9-287879F60A2A}">
  <ds:schemaRefs/>
</ds:datastoreItem>
</file>

<file path=customXml/itemProps2.xml><?xml version="1.0" encoding="utf-8"?>
<ds:datastoreItem xmlns:ds="http://schemas.openxmlformats.org/officeDocument/2006/customXml" ds:itemID="{C1C31899-67D1-4B12-947B-9C27E1A0687F}">
  <ds:schemaRefs/>
</ds:datastoreItem>
</file>

<file path=customXml/itemProps3.xml><?xml version="1.0" encoding="utf-8"?>
<ds:datastoreItem xmlns:ds="http://schemas.openxmlformats.org/officeDocument/2006/customXml" ds:itemID="{A5B838D7-E247-4B30-B5F9-C83766D625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MTUR</Company>
  <Pages>6</Pages>
  <Words>2262</Words>
  <Characters>12217</Characters>
  <Lines>101</Lines>
  <Paragraphs>28</Paragraphs>
  <TotalTime>184</TotalTime>
  <ScaleCrop>false</ScaleCrop>
  <LinksUpToDate>false</LinksUpToDate>
  <CharactersWithSpaces>14451</CharactersWithSpaces>
  <Application>WPS Office_12.2.0.23203_F1E327BC-269C-435d-A152-05C5408002CA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2024-04-04T15:18:00Z</dcterms:created>
  <dc:creator>PARÁ CULTURAL</dc:creator>
  <cp:lastModifiedBy>PARÁ CULTURAL</cp:lastModifiedBy>
  <cp:lastPrinted>2026-07-13T15:52:28Z</cp:lastPrinted>
  <dcterms:modified xsi:type="dcterms:W3CDTF">2026-07-13T16:34:15Z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KSOProductBuildVer">
    <vt:lpwstr>1046-12.2.0.23203</vt:lpwstr>
  </property>
  <property fmtid="{D5CDD505-2E9C-101B-9397-08002B2CF9AE}" pid="11" name="ICV">
    <vt:lpwstr>F2888796654543F08A4B96DE80B2EE83_12</vt:lpwstr>
  </property>
</Properties>
</file>